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3FB9" w:rsidRDefault="00493FB9" w:rsidP="00493FB9">
      <w:pPr>
        <w:autoSpaceDE w:val="0"/>
        <w:autoSpaceDN w:val="0"/>
        <w:adjustRightInd w:val="0"/>
        <w:spacing w:after="0" w:line="240" w:lineRule="auto"/>
        <w:ind w:firstLine="708"/>
        <w:jc w:val="both"/>
        <w:rPr>
          <w:rFonts w:ascii="Times New Roman" w:eastAsia="TimesNewRomanPS-BoldMT" w:hAnsi="Times New Roman" w:cs="Times New Roman"/>
          <w:b/>
          <w:bCs/>
          <w:sz w:val="24"/>
          <w:szCs w:val="24"/>
        </w:rPr>
      </w:pPr>
      <w:r>
        <w:rPr>
          <w:rFonts w:ascii="Times New Roman" w:eastAsia="TimesNewRomanPS-BoldMT" w:hAnsi="Times New Roman" w:cs="Times New Roman"/>
          <w:b/>
          <w:bCs/>
          <w:sz w:val="24"/>
          <w:szCs w:val="24"/>
        </w:rPr>
        <w:t xml:space="preserve">лекция </w:t>
      </w:r>
      <w:r w:rsidR="009D66E5">
        <w:rPr>
          <w:rFonts w:ascii="Times New Roman" w:eastAsia="TimesNewRomanPS-BoldMT" w:hAnsi="Times New Roman" w:cs="Times New Roman"/>
          <w:b/>
          <w:bCs/>
          <w:sz w:val="24"/>
          <w:szCs w:val="24"/>
        </w:rPr>
        <w:t>9</w:t>
      </w:r>
    </w:p>
    <w:p w:rsidR="00C76AD6" w:rsidRDefault="00C76AD6" w:rsidP="00493FB9">
      <w:pPr>
        <w:autoSpaceDE w:val="0"/>
        <w:autoSpaceDN w:val="0"/>
        <w:adjustRightInd w:val="0"/>
        <w:spacing w:after="0" w:line="240" w:lineRule="auto"/>
        <w:ind w:firstLine="708"/>
        <w:jc w:val="both"/>
        <w:rPr>
          <w:rFonts w:ascii="Times New Roman" w:eastAsia="TimesNewRomanPS-BoldMT" w:hAnsi="Times New Roman" w:cs="Times New Roman"/>
          <w:b/>
          <w:bCs/>
          <w:sz w:val="24"/>
          <w:szCs w:val="24"/>
        </w:rPr>
      </w:pPr>
    </w:p>
    <w:p w:rsidR="00493FB9" w:rsidRDefault="00C76AD6" w:rsidP="00493FB9">
      <w:pPr>
        <w:autoSpaceDE w:val="0"/>
        <w:autoSpaceDN w:val="0"/>
        <w:adjustRightInd w:val="0"/>
        <w:spacing w:after="0" w:line="240" w:lineRule="auto"/>
        <w:ind w:firstLine="708"/>
        <w:jc w:val="both"/>
        <w:rPr>
          <w:rFonts w:ascii="Times New Roman" w:eastAsia="TimesNewRomanPS-BoldMT" w:hAnsi="Times New Roman" w:cs="Times New Roman"/>
          <w:b/>
          <w:bCs/>
          <w:sz w:val="24"/>
          <w:szCs w:val="24"/>
        </w:rPr>
      </w:pPr>
      <w:r>
        <w:rPr>
          <w:rFonts w:ascii="Times New Roman" w:eastAsia="TimesNewRomanPS-BoldMT" w:hAnsi="Times New Roman" w:cs="Times New Roman"/>
          <w:b/>
          <w:bCs/>
          <w:sz w:val="24"/>
          <w:szCs w:val="24"/>
        </w:rPr>
        <w:t xml:space="preserve">9.1 </w:t>
      </w:r>
      <w:r w:rsidR="00493FB9">
        <w:rPr>
          <w:rFonts w:ascii="Times New Roman" w:eastAsia="TimesNewRomanPS-BoldMT" w:hAnsi="Times New Roman" w:cs="Times New Roman"/>
          <w:b/>
          <w:bCs/>
          <w:sz w:val="24"/>
          <w:szCs w:val="24"/>
        </w:rPr>
        <w:t>Особенности приготовления на АБЗ холодных асфальтобетонных смесей и черного щебня</w:t>
      </w:r>
    </w:p>
    <w:p w:rsidR="00493FB9" w:rsidRDefault="00493FB9" w:rsidP="00493FB9">
      <w:pPr>
        <w:autoSpaceDE w:val="0"/>
        <w:autoSpaceDN w:val="0"/>
        <w:adjustRightInd w:val="0"/>
        <w:spacing w:after="0" w:line="240" w:lineRule="auto"/>
        <w:ind w:firstLine="708"/>
        <w:jc w:val="both"/>
        <w:rPr>
          <w:rFonts w:ascii="Times New Roman" w:eastAsia="TimesNewRomanPS-BoldMT" w:hAnsi="Times New Roman" w:cs="Times New Roman"/>
          <w:b/>
          <w:bCs/>
          <w:sz w:val="24"/>
          <w:szCs w:val="24"/>
        </w:rPr>
      </w:pP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Технологическая схема приготовления холодных асфальтобетонных смесей и черного щебня принципиально не отличается от приготовления горячей смеси.</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b/>
          <w:i/>
          <w:sz w:val="24"/>
          <w:szCs w:val="24"/>
        </w:rPr>
      </w:pPr>
      <w:r>
        <w:rPr>
          <w:rFonts w:ascii="Times New Roman" w:eastAsia="TimesNewRomanPSMT" w:hAnsi="Times New Roman" w:cs="Times New Roman"/>
          <w:b/>
          <w:i/>
          <w:sz w:val="24"/>
          <w:szCs w:val="24"/>
        </w:rPr>
        <w:t>Различаются они главным образом температурными режимами.</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Температуры приготовления холодных смесей должны быть в пределах </w:t>
      </w:r>
      <w:r>
        <w:rPr>
          <w:rFonts w:ascii="Times New Roman" w:eastAsia="TimesNewRomanPSMT" w:hAnsi="Times New Roman" w:cs="Times New Roman"/>
          <w:b/>
          <w:sz w:val="24"/>
          <w:szCs w:val="24"/>
        </w:rPr>
        <w:t>90–110 ºС</w:t>
      </w:r>
      <w:r>
        <w:rPr>
          <w:rFonts w:ascii="Times New Roman" w:eastAsia="TimesNewRomanPSMT" w:hAnsi="Times New Roman" w:cs="Times New Roman"/>
          <w:sz w:val="24"/>
          <w:szCs w:val="24"/>
        </w:rPr>
        <w:t xml:space="preserve"> (в зависимости от марки битума), а с применением ПАД – </w:t>
      </w:r>
      <w:r>
        <w:rPr>
          <w:rFonts w:ascii="Times New Roman" w:eastAsia="TimesNewRomanPSMT" w:hAnsi="Times New Roman" w:cs="Times New Roman"/>
          <w:b/>
          <w:sz w:val="24"/>
          <w:szCs w:val="24"/>
        </w:rPr>
        <w:t>70–100 ºС</w:t>
      </w:r>
      <w:r>
        <w:rPr>
          <w:rFonts w:ascii="Times New Roman" w:eastAsia="TimesNewRomanPSMT" w:hAnsi="Times New Roman" w:cs="Times New Roman"/>
          <w:sz w:val="24"/>
          <w:szCs w:val="24"/>
        </w:rPr>
        <w:t>. Обычно холодные смеси имеют максимальный размер зерен – 10–15 мм. Меньшая температура приготовления и малый размер зерен определяют некоторые специфические свойства приготовления этих смесей.</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b/>
          <w:i/>
          <w:sz w:val="24"/>
          <w:szCs w:val="24"/>
        </w:rPr>
      </w:pPr>
      <w:r>
        <w:rPr>
          <w:rFonts w:ascii="Times New Roman" w:eastAsia="TimesNewRomanPSMT" w:hAnsi="Times New Roman" w:cs="Times New Roman"/>
          <w:b/>
          <w:i/>
          <w:sz w:val="24"/>
          <w:szCs w:val="24"/>
        </w:rPr>
        <w:t>Холодные смеси требуют особенно тщательного перемешивания.</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Поэтому готовят их обычно в установках с принудительным перемешиванием, а время перемешивания достигает 180–240 с.</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При приготовлении холодных смесей особенно эффективно применять активированные материалы (минеральный порошок, битум и пр.).</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Холодные смеси обычно перед употреблением некоторое время находятся на складе (от 4 до 8 месяцев), поэтому одной из особенностей технологии приготовления холодных смесей является обработка их для уменьшения </w:t>
      </w:r>
      <w:proofErr w:type="spellStart"/>
      <w:r>
        <w:rPr>
          <w:rFonts w:ascii="Times New Roman" w:eastAsia="TimesNewRomanPSMT" w:hAnsi="Times New Roman" w:cs="Times New Roman"/>
          <w:sz w:val="24"/>
          <w:szCs w:val="24"/>
        </w:rPr>
        <w:t>слёживаемости</w:t>
      </w:r>
      <w:proofErr w:type="spellEnd"/>
      <w:r>
        <w:rPr>
          <w:rFonts w:ascii="Times New Roman" w:eastAsia="TimesNewRomanPSMT" w:hAnsi="Times New Roman" w:cs="Times New Roman"/>
          <w:sz w:val="24"/>
          <w:szCs w:val="24"/>
        </w:rPr>
        <w:t xml:space="preserve">. </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Это возможно достигнуть тремя способами:</w:t>
      </w:r>
    </w:p>
    <w:p w:rsidR="00493FB9" w:rsidRDefault="00493FB9" w:rsidP="00493FB9">
      <w:pPr>
        <w:pStyle w:val="a3"/>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понижением температуры смеси перед подачей на склад до 25–30 ºС; </w:t>
      </w:r>
    </w:p>
    <w:p w:rsidR="00493FB9" w:rsidRDefault="00493FB9" w:rsidP="00493FB9">
      <w:pPr>
        <w:pStyle w:val="a3"/>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добавлением химических веществ; </w:t>
      </w:r>
    </w:p>
    <w:p w:rsidR="00493FB9" w:rsidRDefault="00493FB9" w:rsidP="00493FB9">
      <w:pPr>
        <w:pStyle w:val="a3"/>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перемешиванием смеси на площадке хранения.</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Охлаждение смеси достигается двумя способами: </w:t>
      </w:r>
    </w:p>
    <w:p w:rsidR="00493FB9" w:rsidRDefault="00493FB9" w:rsidP="00493FB9">
      <w:pPr>
        <w:pStyle w:val="a3"/>
        <w:numPr>
          <w:ilvl w:val="0"/>
          <w:numId w:val="2"/>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принудительным продуванием с помощью вентилятора;</w:t>
      </w:r>
    </w:p>
    <w:p w:rsidR="00493FB9" w:rsidRDefault="00493FB9" w:rsidP="00493FB9">
      <w:pPr>
        <w:pStyle w:val="a3"/>
        <w:numPr>
          <w:ilvl w:val="0"/>
          <w:numId w:val="2"/>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естественным охлаждением смеси в процессе ее транспортировки на склад.</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Иногда для уменьшения </w:t>
      </w:r>
      <w:proofErr w:type="spellStart"/>
      <w:r>
        <w:rPr>
          <w:rFonts w:ascii="Times New Roman" w:eastAsia="TimesNewRomanPSMT" w:hAnsi="Times New Roman" w:cs="Times New Roman"/>
          <w:sz w:val="24"/>
          <w:szCs w:val="24"/>
        </w:rPr>
        <w:t>слёживаемости</w:t>
      </w:r>
      <w:proofErr w:type="spellEnd"/>
      <w:r>
        <w:rPr>
          <w:rFonts w:ascii="Times New Roman" w:eastAsia="TimesNewRomanPSMT" w:hAnsi="Times New Roman" w:cs="Times New Roman"/>
          <w:sz w:val="24"/>
          <w:szCs w:val="24"/>
        </w:rPr>
        <w:t xml:space="preserve"> смеси в процессе ее приготовления в нее вводятся специальные добавки в виде водных растворов </w:t>
      </w:r>
      <w:proofErr w:type="spellStart"/>
      <w:r>
        <w:rPr>
          <w:rFonts w:ascii="Times New Roman" w:eastAsia="TimesNewRomanPSMT" w:hAnsi="Times New Roman" w:cs="Times New Roman"/>
          <w:sz w:val="24"/>
          <w:szCs w:val="24"/>
        </w:rPr>
        <w:t>соапстока</w:t>
      </w:r>
      <w:proofErr w:type="spellEnd"/>
      <w:r>
        <w:rPr>
          <w:rFonts w:ascii="Times New Roman" w:eastAsia="TimesNewRomanPSMT" w:hAnsi="Times New Roman" w:cs="Times New Roman"/>
          <w:sz w:val="24"/>
          <w:szCs w:val="24"/>
        </w:rPr>
        <w:t xml:space="preserve"> (3–5 %), сульфидно-спиртовая барда (</w:t>
      </w:r>
      <w:proofErr w:type="spellStart"/>
      <w:r>
        <w:rPr>
          <w:rFonts w:ascii="Times New Roman" w:eastAsia="TimesNewRomanPSMT" w:hAnsi="Times New Roman" w:cs="Times New Roman"/>
          <w:sz w:val="24"/>
          <w:szCs w:val="24"/>
        </w:rPr>
        <w:t>ссб</w:t>
      </w:r>
      <w:proofErr w:type="spellEnd"/>
      <w:r>
        <w:rPr>
          <w:rFonts w:ascii="Times New Roman" w:eastAsia="TimesNewRomanPSMT" w:hAnsi="Times New Roman" w:cs="Times New Roman"/>
          <w:sz w:val="24"/>
          <w:szCs w:val="24"/>
        </w:rPr>
        <w:t>) (10 %), с хлорным железом (10 %) и др. (в % по массе смеси).</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Растворы вводят в мешалку после окончания перемешивания минеральных материалов с битумом и производят дополнительное перемешивание в течение 6–10 с.</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В некоторых случаях слёживаемость холодной смеси на площадке может быть значительно снижена периодическим перемешиванием (перелопачиванием) с помощью погрузчиков, экскаваторов и пр.</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Использование эмульсий для приготовления черного щебня и холодного асфальтобетона накладывает свои отпечатки на технологию приготовления смесей. Применение эмульсий дает ряд преимуществ. Вследствие большей подвижности эмульсий минеральные материалы лучше обволакиваются вяжущим, что позволяет снизить расход вяжущего и уменьшить время перемешивания. Минеральную часть перемешивают с эмульсией в холодном состоянии, что исключает затрату времени и средств на просушку вяжущего и подогрев минеральных материалов. </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Для приготовления асфальтобетонов на эмульсиях необходимы влажные (2–3 % по массе) и чистые материалы, при этом возможно увеличенное содержание мелких фракций. В то же время асфальтобетонам и черному щебню (холодным) на эмульсиях присущ ряд недостатков. Эти смеси, особенно на быстрорастворимых эмульсиях, нельзя длительное время хранить на складах. Прочность слоев дорожных одежд с применением холодных смесей ниже прочности асфальтобетонов на горячих смесях. Для покрытий такого типа характерен длительный набор прочности – период формирования после уплотнения.</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Приготовление черных смесей с эмульсиями включает те же технологические процессы, которые необходимы при использовании битумов, кроме приготовления </w:t>
      </w:r>
      <w:r>
        <w:rPr>
          <w:rFonts w:ascii="Times New Roman" w:eastAsia="TimesNewRomanPSMT" w:hAnsi="Times New Roman" w:cs="Times New Roman"/>
          <w:sz w:val="24"/>
          <w:szCs w:val="24"/>
        </w:rPr>
        <w:lastRenderedPageBreak/>
        <w:t>минеральных материалов. Смешение материалов можно производить в смесителях принудительного и свободного перемешивания. Чтобы улучшить прилипание вяжущего и уменьшить слёживаемость</w:t>
      </w:r>
      <w:bookmarkStart w:id="0" w:name="_GoBack"/>
      <w:bookmarkEnd w:id="0"/>
      <w:r>
        <w:rPr>
          <w:rFonts w:ascii="Times New Roman" w:eastAsia="TimesNewRomanPSMT" w:hAnsi="Times New Roman" w:cs="Times New Roman"/>
          <w:sz w:val="24"/>
          <w:szCs w:val="24"/>
        </w:rPr>
        <w:t xml:space="preserve"> материалов, минеральные материалы можно обрабатывать известью (0,2–0,7 % по массе). </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Наилучший эффект достигается при обработке каменных материалов двумя эмульсиями. </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Технологическая последовательность при этом такова. Щебень или смесь перемешивают с известью 15–20 с, затем в мешалку подают обратную эмульсию и опять перемешивают 1–2 мин. Если в смесь добавляют минеральный порошок, то его увлажняют (10–20 % по массе), подают в мешалку и снова перемешивают, затем подают прямую эмульсию и все опять перемешивают не более 15–30 с.</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Поверхностно-активные добавки вводят в мешалку до подачи битума или вместе с ним.</w:t>
      </w:r>
    </w:p>
    <w:p w:rsidR="00493FB9" w:rsidRDefault="00493FB9" w:rsidP="00493FB9">
      <w:pPr>
        <w:autoSpaceDE w:val="0"/>
        <w:autoSpaceDN w:val="0"/>
        <w:adjustRightInd w:val="0"/>
        <w:spacing w:after="0" w:line="240" w:lineRule="auto"/>
        <w:jc w:val="both"/>
        <w:rPr>
          <w:rFonts w:ascii="Times New Roman" w:eastAsia="TimesNewRomanPS-BoldMT" w:hAnsi="Times New Roman" w:cs="Times New Roman"/>
          <w:b/>
          <w:bCs/>
          <w:sz w:val="24"/>
          <w:szCs w:val="24"/>
        </w:rPr>
      </w:pPr>
    </w:p>
    <w:p w:rsidR="00493FB9" w:rsidRDefault="00493FB9" w:rsidP="00493FB9">
      <w:pPr>
        <w:autoSpaceDE w:val="0"/>
        <w:autoSpaceDN w:val="0"/>
        <w:adjustRightInd w:val="0"/>
        <w:spacing w:after="0" w:line="240" w:lineRule="auto"/>
        <w:ind w:firstLine="708"/>
        <w:jc w:val="both"/>
        <w:rPr>
          <w:rFonts w:ascii="Times New Roman" w:eastAsia="TimesNewRomanPS-BoldMT" w:hAnsi="Times New Roman" w:cs="Times New Roman"/>
          <w:b/>
          <w:bCs/>
          <w:sz w:val="24"/>
          <w:szCs w:val="24"/>
        </w:rPr>
      </w:pPr>
      <w:r>
        <w:rPr>
          <w:rFonts w:ascii="Times New Roman" w:eastAsia="TimesNewRomanPS-BoldMT" w:hAnsi="Times New Roman" w:cs="Times New Roman"/>
          <w:b/>
          <w:bCs/>
          <w:sz w:val="24"/>
          <w:szCs w:val="24"/>
        </w:rPr>
        <w:t>Основы проектирования асфальтобетонных заводов</w:t>
      </w:r>
    </w:p>
    <w:p w:rsidR="00493FB9" w:rsidRDefault="00493FB9" w:rsidP="00493FB9">
      <w:pPr>
        <w:autoSpaceDE w:val="0"/>
        <w:autoSpaceDN w:val="0"/>
        <w:adjustRightInd w:val="0"/>
        <w:spacing w:after="0" w:line="240" w:lineRule="auto"/>
        <w:jc w:val="both"/>
        <w:rPr>
          <w:rFonts w:ascii="Times New Roman" w:eastAsia="TimesNewRomanPSMT" w:hAnsi="Times New Roman" w:cs="Times New Roman"/>
          <w:sz w:val="24"/>
          <w:szCs w:val="24"/>
        </w:rPr>
      </w:pP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При проектировании и организации АБЗ исходят из заданных темпов и сроков строительства, конструкции асфальтобетонного покрытия, наличия материалов, комплекса местных условий (грунтово-гидрологических, климатических), подъездных путей, источников снабжения водой, электроэнергией, топливом и пр. Завод должен обеспечивать строительство высококачественными смесями и в нужном количестве.</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Проектируя АБЗ, решают следующие основные вопросы: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выбор места расположения завода;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определение объемов работ по выпуску асфальтобетонной смеси – производительность завода и необходимое количество материалов для приготовления асфальтобетона;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разработка схемы технологического процесса;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подбор оборудования и механизмов;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разработка средств механизации и автоматизации основных технологических процессов;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проектирование складского хозяйства;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расчет требуемых энергоресурсов;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разработка генерального плана завода;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разработка основных положений по строительству завода;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расчет необходимого количества работников;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составление калькуляции стоимости смеси и сметно-финансового расчета;</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разработка основных мероприятий по охране труда, технике безопасности и противопожарной технике;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определение основных технико-экономических показателей завода.</w:t>
      </w:r>
    </w:p>
    <w:p w:rsidR="00493FB9" w:rsidRDefault="00493FB9" w:rsidP="00493FB9">
      <w:pPr>
        <w:autoSpaceDE w:val="0"/>
        <w:autoSpaceDN w:val="0"/>
        <w:adjustRightInd w:val="0"/>
        <w:spacing w:after="0" w:line="240" w:lineRule="auto"/>
        <w:ind w:firstLine="708"/>
        <w:jc w:val="both"/>
        <w:rPr>
          <w:rFonts w:ascii="Times New Roman" w:eastAsia="TimesNewRomanPS-ItalicMT" w:hAnsi="Times New Roman" w:cs="Times New Roman"/>
          <w:b/>
          <w:i/>
          <w:iCs/>
          <w:sz w:val="24"/>
          <w:szCs w:val="24"/>
        </w:rPr>
      </w:pPr>
      <w:r>
        <w:rPr>
          <w:rFonts w:ascii="Times New Roman" w:eastAsia="TimesNewRomanPS-ItalicMT" w:hAnsi="Times New Roman" w:cs="Times New Roman"/>
          <w:b/>
          <w:i/>
          <w:iCs/>
          <w:sz w:val="24"/>
          <w:szCs w:val="24"/>
        </w:rPr>
        <w:t xml:space="preserve">Разработка генерального плана завода. </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Разработке генерального плана предшествует определение размеров всех зданий и сооружений. На стационарных заводах устраивают здания капитального типа, на временных – сборно-разборные.</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На генеральном плане указывают расположение смесительно-дозированного цеха, плавильной установки, склада минеральных материалов, </w:t>
      </w:r>
      <w:proofErr w:type="spellStart"/>
      <w:r>
        <w:rPr>
          <w:rFonts w:ascii="Times New Roman" w:eastAsia="TimesNewRomanPSMT" w:hAnsi="Times New Roman" w:cs="Times New Roman"/>
          <w:sz w:val="24"/>
          <w:szCs w:val="24"/>
        </w:rPr>
        <w:t>битумохранилища</w:t>
      </w:r>
      <w:proofErr w:type="spellEnd"/>
      <w:r>
        <w:rPr>
          <w:rFonts w:ascii="Times New Roman" w:eastAsia="TimesNewRomanPSMT" w:hAnsi="Times New Roman" w:cs="Times New Roman"/>
          <w:sz w:val="24"/>
          <w:szCs w:val="24"/>
        </w:rPr>
        <w:t>, лаборатории, конторы, транспортных путей, коммуникаций энергохозяйства и др.</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i/>
          <w:sz w:val="24"/>
          <w:szCs w:val="24"/>
        </w:rPr>
      </w:pPr>
      <w:r>
        <w:rPr>
          <w:rFonts w:ascii="Times New Roman" w:eastAsia="TimesNewRomanPSMT" w:hAnsi="Times New Roman" w:cs="Times New Roman"/>
          <w:i/>
          <w:sz w:val="24"/>
          <w:szCs w:val="24"/>
        </w:rPr>
        <w:t>При разработке генеральных планов АБЗ необходимо учесть ряд рекомендаций.</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Площадь завода должна быть минимальной и компактной и вместе с этим давать возможность удобно расположить всё оборудование и допускать некоторое расширение завода.</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Основным принципом проектирования генерального плана является рациональное расположение оборудования, при котором в полной мере соблюдается принятая </w:t>
      </w:r>
      <w:r>
        <w:rPr>
          <w:rFonts w:ascii="Times New Roman" w:eastAsia="TimesNewRomanPSMT" w:hAnsi="Times New Roman" w:cs="Times New Roman"/>
          <w:sz w:val="24"/>
          <w:szCs w:val="24"/>
        </w:rPr>
        <w:lastRenderedPageBreak/>
        <w:t>технологическая схема с наименьшими затратами на переработку сырья и транспортировку материалов. Поэтому движение материалов от одного агрегата к другому должно быть прямоточным, по кратчайшему пути без дополнительных перегрузок. Встречных потоков</w:t>
      </w:r>
    </w:p>
    <w:p w:rsidR="00493FB9" w:rsidRDefault="00493FB9" w:rsidP="00493FB9">
      <w:p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грузов надо избегать, т.к. они ухудшают условия эксплуатации завода.</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Склады щебня, песка, минерального порошка должны находиться возможно ближе к смесительному цеху, что уменьшает стоимость транспортных галерей. Обычно потребность в щебне на АБЗ больше в 1,5–1,7 раза, чем потребность в песке. Поэтому склады щебня располагают ближе к смесителю, а склады песка – дальше.</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При проектировании транспортных путей целесообразно избегать встречного движения автомобилей, предусматривая кольцевое или сквозное движение. Ширина проездов предусматривается не менее 5,5 м при двухстороннем движении, и не менее 3,5 м – при одностороннем. Минимальные радиусы разворота автомобилей принимают 15–20 м. Выезд с территории АБЗ должен быть оборудован весами. Перед смесителем предусматривают площадку не менее 500–600 м</w:t>
      </w:r>
      <w:r>
        <w:rPr>
          <w:rFonts w:ascii="Times New Roman" w:eastAsia="TimesNewRomanPSMT" w:hAnsi="Times New Roman" w:cs="Times New Roman"/>
          <w:sz w:val="24"/>
          <w:szCs w:val="24"/>
          <w:vertAlign w:val="superscript"/>
        </w:rPr>
        <w:t>2</w:t>
      </w:r>
      <w:r>
        <w:rPr>
          <w:rFonts w:ascii="Times New Roman" w:eastAsia="TimesNewRomanPSMT" w:hAnsi="Times New Roman" w:cs="Times New Roman"/>
          <w:sz w:val="24"/>
          <w:szCs w:val="24"/>
        </w:rPr>
        <w:t xml:space="preserve"> для маневрирования и кратковременной стоянки автомобилей. Все транспортные пути и площадки должны иметь твердое покрытие.</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proofErr w:type="spellStart"/>
      <w:r>
        <w:rPr>
          <w:rFonts w:ascii="Times New Roman" w:eastAsia="TimesNewRomanPSMT" w:hAnsi="Times New Roman" w:cs="Times New Roman"/>
          <w:sz w:val="24"/>
          <w:szCs w:val="24"/>
        </w:rPr>
        <w:t>Битумоплавильня</w:t>
      </w:r>
      <w:proofErr w:type="spellEnd"/>
      <w:r>
        <w:rPr>
          <w:rFonts w:ascii="Times New Roman" w:eastAsia="TimesNewRomanPSMT" w:hAnsi="Times New Roman" w:cs="Times New Roman"/>
          <w:sz w:val="24"/>
          <w:szCs w:val="24"/>
        </w:rPr>
        <w:t xml:space="preserve"> обычно располагается ближе к смесителю. Это необходимо для минимизации потерь тепла приготовленным битумом.</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Административный и санитарно-бытовой блок целесообразно отделять от промышленного блока.</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Принципиальное решение всего генерального плана в значительной мере зависит от компоновки смесителей, особенно если их несколько.</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Раздельная и кольцевая схемы расположения смесителей требуют большей территории и несколько усложняют транспортирование компонентов смеси. Зато при этих схемах упрощается вывозка готовой смеси.</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Прямолинейная схема установки более рациональна при наличии двух смесителей, она более компактна. Еще более компактна параллельная схема, однако, при такой компоновке значительно ухудшаются условия работы автотранспорта. Выбор оптимальной схемы зависит от многих факторов: </w:t>
      </w:r>
    </w:p>
    <w:p w:rsidR="00493FB9" w:rsidRDefault="00493FB9" w:rsidP="00493FB9">
      <w:pPr>
        <w:pStyle w:val="a3"/>
        <w:numPr>
          <w:ilvl w:val="0"/>
          <w:numId w:val="4"/>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площади, отведенной под завод; </w:t>
      </w:r>
    </w:p>
    <w:p w:rsidR="00493FB9" w:rsidRDefault="00493FB9" w:rsidP="00493FB9">
      <w:pPr>
        <w:pStyle w:val="a3"/>
        <w:numPr>
          <w:ilvl w:val="0"/>
          <w:numId w:val="4"/>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типа смесителей; </w:t>
      </w:r>
    </w:p>
    <w:p w:rsidR="00493FB9" w:rsidRDefault="00493FB9" w:rsidP="00493FB9">
      <w:pPr>
        <w:pStyle w:val="a3"/>
        <w:numPr>
          <w:ilvl w:val="0"/>
          <w:numId w:val="4"/>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конструкции складов и пр.</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Большое значение имеет максимальное использование длины тупика, вдоль которого обычно расположены склады щебня, песка, минерального порошка, вяжущих. Эти склады можно размещать на одной или обеих сторонах тупика, в зависимости от конкретных местных условий.</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Территория АБЗ обязательно ограждается. Необходимо, чтобы на территории завода была зеленая зона.</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При разработке генерального плана сравнивают несколько сопоставимых вариантов, выбирают лучший из них на основе технико-экономического сравнения и вычерчивают в масштабе 1:500.</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Генеральный план производственного предприятия – это проект расположения всех зданий, сооружений, технического, энергетического и вспомогательного оборудования, инженерных сетей, транспортных путей и т.д., обеспечивающих наиболее благоприятные условия производственного процесса на предприятии, рациональное экономическое использование территории и наибольшую эффективность капитальных вложений.</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На АБЗ должны быть склады материалов для хранения следующих запасов, обеспечивающие максимальную производительность завода: в песке – 15-дневный запас; битума – месячный запас; в минеральном порошке – 15-дневный запас; </w:t>
      </w:r>
      <w:proofErr w:type="spellStart"/>
      <w:r>
        <w:rPr>
          <w:rFonts w:ascii="Times New Roman" w:eastAsia="TimesNewRomanPSMT" w:hAnsi="Times New Roman" w:cs="Times New Roman"/>
          <w:sz w:val="24"/>
          <w:szCs w:val="24"/>
        </w:rPr>
        <w:t>гидрофобизирующих</w:t>
      </w:r>
      <w:proofErr w:type="spellEnd"/>
      <w:r>
        <w:rPr>
          <w:rFonts w:ascii="Times New Roman" w:eastAsia="TimesNewRomanPSMT" w:hAnsi="Times New Roman" w:cs="Times New Roman"/>
          <w:sz w:val="24"/>
          <w:szCs w:val="24"/>
        </w:rPr>
        <w:t xml:space="preserve"> добавок – 3-месячный запас.</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Склады должны быть запроектированы таким образом, чтобы обеспечить раздельное хранение щебня различных фракций и песка, исключающие снижение качества и загрязнения окружающей среды. Методы выгрузки битума, его хранения в </w:t>
      </w:r>
      <w:proofErr w:type="spellStart"/>
      <w:r>
        <w:rPr>
          <w:rFonts w:ascii="Times New Roman" w:eastAsia="TimesNewRomanPSMT" w:hAnsi="Times New Roman" w:cs="Times New Roman"/>
          <w:sz w:val="24"/>
          <w:szCs w:val="24"/>
        </w:rPr>
        <w:lastRenderedPageBreak/>
        <w:t>битумохранилищах</w:t>
      </w:r>
      <w:proofErr w:type="spellEnd"/>
      <w:r>
        <w:rPr>
          <w:rFonts w:ascii="Times New Roman" w:eastAsia="TimesNewRomanPSMT" w:hAnsi="Times New Roman" w:cs="Times New Roman"/>
          <w:sz w:val="24"/>
          <w:szCs w:val="24"/>
        </w:rPr>
        <w:t xml:space="preserve"> должны исключить возможность его обводнения. На основе обобщения проектной практики установлено, что основными принципами проектирования генеральных планов предприятий являются:</w:t>
      </w:r>
    </w:p>
    <w:p w:rsidR="00493FB9" w:rsidRDefault="00493FB9" w:rsidP="00493FB9">
      <w:pPr>
        <w:pStyle w:val="a3"/>
        <w:numPr>
          <w:ilvl w:val="0"/>
          <w:numId w:val="5"/>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размещение предприятий в промышленных узлах населенных мест на базе кооперирования с другими предприятиями; </w:t>
      </w:r>
    </w:p>
    <w:p w:rsidR="00493FB9" w:rsidRDefault="00493FB9" w:rsidP="00493FB9">
      <w:pPr>
        <w:pStyle w:val="a3"/>
        <w:numPr>
          <w:ilvl w:val="0"/>
          <w:numId w:val="5"/>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создание условий для расширения производства; </w:t>
      </w:r>
    </w:p>
    <w:p w:rsidR="00493FB9" w:rsidRDefault="00493FB9" w:rsidP="00493FB9">
      <w:pPr>
        <w:pStyle w:val="a3"/>
        <w:numPr>
          <w:ilvl w:val="0"/>
          <w:numId w:val="5"/>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размещение складских помещений с учетом минимальных транспортных затрат; </w:t>
      </w:r>
    </w:p>
    <w:p w:rsidR="00493FB9" w:rsidRDefault="00493FB9" w:rsidP="00493FB9">
      <w:pPr>
        <w:pStyle w:val="a3"/>
        <w:numPr>
          <w:ilvl w:val="0"/>
          <w:numId w:val="5"/>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размещение зданий и сооружений с минимальными разрывами;</w:t>
      </w:r>
    </w:p>
    <w:p w:rsidR="00493FB9" w:rsidRDefault="00493FB9" w:rsidP="00493FB9">
      <w:pPr>
        <w:pStyle w:val="a3"/>
        <w:numPr>
          <w:ilvl w:val="0"/>
          <w:numId w:val="5"/>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благоустройство территории;</w:t>
      </w:r>
    </w:p>
    <w:p w:rsidR="00493FB9" w:rsidRDefault="00493FB9" w:rsidP="00493FB9">
      <w:pPr>
        <w:pStyle w:val="a3"/>
        <w:numPr>
          <w:ilvl w:val="0"/>
          <w:numId w:val="5"/>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комплексное решение по трассировке и способах прокладки инженерных сетей;</w:t>
      </w:r>
    </w:p>
    <w:p w:rsidR="00493FB9" w:rsidRDefault="00493FB9" w:rsidP="00493FB9">
      <w:pPr>
        <w:pStyle w:val="a3"/>
        <w:numPr>
          <w:ilvl w:val="0"/>
          <w:numId w:val="5"/>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применение прогрессивных видов транспорта.</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При проектировании генерального плана все производственные здания и сооружения группируются в соответствующие зоны с учетом санитарных и противопожарных требований, видов обслуживающего транспорта. Пример генерального плана прирельсового АБЗ представлен на рис. 8.1.</w:t>
      </w:r>
    </w:p>
    <w:p w:rsidR="00493FB9" w:rsidRDefault="00493FB9" w:rsidP="00493FB9">
      <w:pPr>
        <w:autoSpaceDE w:val="0"/>
        <w:autoSpaceDN w:val="0"/>
        <w:adjustRightInd w:val="0"/>
        <w:spacing w:after="0" w:line="240" w:lineRule="auto"/>
        <w:jc w:val="center"/>
        <w:rPr>
          <w:rFonts w:ascii="Times New Roman" w:eastAsia="TimesNewRomanPSMT" w:hAnsi="Times New Roman" w:cs="Times New Roman"/>
          <w:sz w:val="24"/>
          <w:szCs w:val="24"/>
        </w:rPr>
      </w:pPr>
      <w:r>
        <w:rPr>
          <w:noProof/>
          <w:lang w:eastAsia="ru-RU"/>
        </w:rPr>
        <w:drawing>
          <wp:inline distT="0" distB="0" distL="0" distR="0">
            <wp:extent cx="5314950" cy="34004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14950" cy="3400425"/>
                    </a:xfrm>
                    <a:prstGeom prst="rect">
                      <a:avLst/>
                    </a:prstGeom>
                    <a:noFill/>
                    <a:ln>
                      <a:noFill/>
                    </a:ln>
                  </pic:spPr>
                </pic:pic>
              </a:graphicData>
            </a:graphic>
          </wp:inline>
        </w:drawing>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Рис. 8.1 - Генеральный план прирельсового АБЗ: </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1 – склад каменных материалов; 2 – отделение подачи каменных материалов; 3 – </w:t>
      </w:r>
      <w:proofErr w:type="spellStart"/>
      <w:r>
        <w:rPr>
          <w:rFonts w:ascii="Times New Roman" w:eastAsia="TimesNewRomanPSMT" w:hAnsi="Times New Roman" w:cs="Times New Roman"/>
          <w:sz w:val="24"/>
          <w:szCs w:val="24"/>
        </w:rPr>
        <w:t>асфальтосмесительная</w:t>
      </w:r>
      <w:proofErr w:type="spellEnd"/>
      <w:r>
        <w:rPr>
          <w:rFonts w:ascii="Times New Roman" w:eastAsia="TimesNewRomanPSMT" w:hAnsi="Times New Roman" w:cs="Times New Roman"/>
          <w:sz w:val="24"/>
          <w:szCs w:val="24"/>
        </w:rPr>
        <w:t xml:space="preserve"> установка; 4 – накопительный бункер готовой смеси; 5 – компрессорная установка; 6 – склад минерального порошка; 7 – склад мазута; 8 – </w:t>
      </w:r>
      <w:proofErr w:type="spellStart"/>
      <w:r>
        <w:rPr>
          <w:rFonts w:ascii="Times New Roman" w:eastAsia="TimesNewRomanPSMT" w:hAnsi="Times New Roman" w:cs="Times New Roman"/>
          <w:sz w:val="24"/>
          <w:szCs w:val="24"/>
        </w:rPr>
        <w:t>битумохранилище</w:t>
      </w:r>
      <w:proofErr w:type="spellEnd"/>
      <w:r>
        <w:rPr>
          <w:rFonts w:ascii="Times New Roman" w:eastAsia="TimesNewRomanPSMT" w:hAnsi="Times New Roman" w:cs="Times New Roman"/>
          <w:sz w:val="24"/>
          <w:szCs w:val="24"/>
        </w:rPr>
        <w:t xml:space="preserve">; 9 – склад ГСМ; 10 – склад резиновой крошки; 11 – ремонтные мастерские; 12 – </w:t>
      </w:r>
      <w:proofErr w:type="spellStart"/>
      <w:r>
        <w:rPr>
          <w:rFonts w:ascii="Times New Roman" w:eastAsia="TimesNewRomanPSMT" w:hAnsi="Times New Roman" w:cs="Times New Roman"/>
          <w:sz w:val="24"/>
          <w:szCs w:val="24"/>
        </w:rPr>
        <w:t>подрельсовый</w:t>
      </w:r>
      <w:proofErr w:type="spellEnd"/>
      <w:r>
        <w:rPr>
          <w:rFonts w:ascii="Times New Roman" w:eastAsia="TimesNewRomanPSMT" w:hAnsi="Times New Roman" w:cs="Times New Roman"/>
          <w:sz w:val="24"/>
          <w:szCs w:val="24"/>
        </w:rPr>
        <w:t xml:space="preserve"> бункер; 13 – стоянка для автотранспорта; 14 – административный корпус; 15 – весовая и пункт контроля; 16 – туалет; 17 – трансформаторная подстанция</w:t>
      </w:r>
    </w:p>
    <w:p w:rsidR="00493FB9" w:rsidRDefault="00493FB9" w:rsidP="00493FB9">
      <w:pPr>
        <w:autoSpaceDE w:val="0"/>
        <w:autoSpaceDN w:val="0"/>
        <w:adjustRightInd w:val="0"/>
        <w:spacing w:after="0" w:line="240" w:lineRule="auto"/>
        <w:jc w:val="both"/>
        <w:rPr>
          <w:rFonts w:ascii="Times New Roman" w:eastAsia="TimesNewRomanPSMT" w:hAnsi="Times New Roman" w:cs="Times New Roman"/>
          <w:sz w:val="24"/>
          <w:szCs w:val="24"/>
        </w:rPr>
      </w:pP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По использованию площади предприятия делят на зоны:</w:t>
      </w:r>
    </w:p>
    <w:p w:rsidR="00493FB9" w:rsidRDefault="00493FB9" w:rsidP="00493FB9">
      <w:pPr>
        <w:pStyle w:val="a3"/>
        <w:numPr>
          <w:ilvl w:val="0"/>
          <w:numId w:val="6"/>
        </w:numPr>
        <w:autoSpaceDE w:val="0"/>
        <w:autoSpaceDN w:val="0"/>
        <w:adjustRightInd w:val="0"/>
        <w:spacing w:after="0" w:line="240" w:lineRule="auto"/>
        <w:jc w:val="both"/>
        <w:rPr>
          <w:rFonts w:ascii="Times New Roman" w:eastAsia="TimesNewRomanPSMT" w:hAnsi="Times New Roman" w:cs="Times New Roman"/>
          <w:sz w:val="24"/>
          <w:szCs w:val="24"/>
        </w:rPr>
      </w:pPr>
      <w:proofErr w:type="spellStart"/>
      <w:r>
        <w:rPr>
          <w:rFonts w:ascii="Times New Roman" w:eastAsia="TimesNewRomanPSMT" w:hAnsi="Times New Roman" w:cs="Times New Roman"/>
          <w:sz w:val="24"/>
          <w:szCs w:val="24"/>
        </w:rPr>
        <w:t>предзаводскую</w:t>
      </w:r>
      <w:proofErr w:type="spellEnd"/>
      <w:r>
        <w:rPr>
          <w:rFonts w:ascii="Times New Roman" w:eastAsia="TimesNewRomanPSMT" w:hAnsi="Times New Roman" w:cs="Times New Roman"/>
          <w:sz w:val="24"/>
          <w:szCs w:val="24"/>
        </w:rPr>
        <w:t>;</w:t>
      </w:r>
    </w:p>
    <w:p w:rsidR="00493FB9" w:rsidRDefault="00493FB9" w:rsidP="00493FB9">
      <w:pPr>
        <w:pStyle w:val="a3"/>
        <w:numPr>
          <w:ilvl w:val="0"/>
          <w:numId w:val="6"/>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производственную;</w:t>
      </w:r>
    </w:p>
    <w:p w:rsidR="00493FB9" w:rsidRDefault="00493FB9" w:rsidP="00493FB9">
      <w:pPr>
        <w:pStyle w:val="a3"/>
        <w:numPr>
          <w:ilvl w:val="0"/>
          <w:numId w:val="6"/>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подсобную;</w:t>
      </w:r>
    </w:p>
    <w:p w:rsidR="00493FB9" w:rsidRDefault="00493FB9" w:rsidP="00493FB9">
      <w:pPr>
        <w:pStyle w:val="a3"/>
        <w:numPr>
          <w:ilvl w:val="0"/>
          <w:numId w:val="6"/>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складскую.</w:t>
      </w:r>
    </w:p>
    <w:p w:rsidR="00493FB9" w:rsidRDefault="00493FB9" w:rsidP="00493FB9">
      <w:pPr>
        <w:autoSpaceDE w:val="0"/>
        <w:autoSpaceDN w:val="0"/>
        <w:adjustRightInd w:val="0"/>
        <w:spacing w:after="0" w:line="240" w:lineRule="auto"/>
        <w:ind w:firstLine="709"/>
        <w:jc w:val="both"/>
        <w:rPr>
          <w:rFonts w:ascii="Times New Roman" w:eastAsia="TimesNewRomanPSMT" w:hAnsi="Times New Roman" w:cs="Times New Roman"/>
          <w:sz w:val="24"/>
          <w:szCs w:val="24"/>
        </w:rPr>
      </w:pPr>
      <w:proofErr w:type="spellStart"/>
      <w:r>
        <w:rPr>
          <w:rFonts w:ascii="Times New Roman" w:eastAsia="TimesNewRomanPSMT" w:hAnsi="Times New Roman" w:cs="Times New Roman"/>
          <w:b/>
          <w:i/>
          <w:sz w:val="24"/>
          <w:szCs w:val="24"/>
        </w:rPr>
        <w:t>Предзаводская</w:t>
      </w:r>
      <w:proofErr w:type="spellEnd"/>
      <w:r>
        <w:rPr>
          <w:rFonts w:ascii="Times New Roman" w:eastAsia="TimesNewRomanPSMT" w:hAnsi="Times New Roman" w:cs="Times New Roman"/>
          <w:b/>
          <w:i/>
          <w:sz w:val="24"/>
          <w:szCs w:val="24"/>
        </w:rPr>
        <w:t xml:space="preserve"> зона</w:t>
      </w:r>
      <w:r>
        <w:rPr>
          <w:rFonts w:ascii="Times New Roman" w:eastAsia="TimesNewRomanPSMT" w:hAnsi="Times New Roman" w:cs="Times New Roman"/>
          <w:sz w:val="24"/>
          <w:szCs w:val="24"/>
        </w:rPr>
        <w:t xml:space="preserve"> – заводоуправление, столовая, стоянка легкового транспорта.</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b/>
          <w:i/>
          <w:sz w:val="24"/>
          <w:szCs w:val="24"/>
        </w:rPr>
        <w:lastRenderedPageBreak/>
        <w:t>Производственная зона</w:t>
      </w:r>
      <w:r>
        <w:rPr>
          <w:rFonts w:ascii="Times New Roman" w:eastAsia="TimesNewRomanPSMT" w:hAnsi="Times New Roman" w:cs="Times New Roman"/>
          <w:sz w:val="24"/>
          <w:szCs w:val="24"/>
        </w:rPr>
        <w:t xml:space="preserve"> – смесительное отделение, компрессорная, цех, </w:t>
      </w:r>
      <w:proofErr w:type="spellStart"/>
      <w:r>
        <w:rPr>
          <w:rFonts w:ascii="Times New Roman" w:eastAsia="TimesNewRomanPSMT" w:hAnsi="Times New Roman" w:cs="Times New Roman"/>
          <w:sz w:val="24"/>
          <w:szCs w:val="24"/>
        </w:rPr>
        <w:t>битумохранилище</w:t>
      </w:r>
      <w:proofErr w:type="spellEnd"/>
      <w:r>
        <w:rPr>
          <w:rFonts w:ascii="Times New Roman" w:eastAsia="TimesNewRomanPSMT" w:hAnsi="Times New Roman" w:cs="Times New Roman"/>
          <w:sz w:val="24"/>
          <w:szCs w:val="24"/>
        </w:rPr>
        <w:t xml:space="preserve">, </w:t>
      </w:r>
      <w:proofErr w:type="spellStart"/>
      <w:r>
        <w:rPr>
          <w:rFonts w:ascii="Times New Roman" w:eastAsia="TimesNewRomanPSMT" w:hAnsi="Times New Roman" w:cs="Times New Roman"/>
          <w:sz w:val="24"/>
          <w:szCs w:val="24"/>
        </w:rPr>
        <w:t>битумоплавильня</w:t>
      </w:r>
      <w:proofErr w:type="spellEnd"/>
      <w:r>
        <w:rPr>
          <w:rFonts w:ascii="Times New Roman" w:eastAsia="TimesNewRomanPSMT" w:hAnsi="Times New Roman" w:cs="Times New Roman"/>
          <w:sz w:val="24"/>
          <w:szCs w:val="24"/>
        </w:rPr>
        <w:t>.</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b/>
          <w:i/>
          <w:sz w:val="24"/>
          <w:szCs w:val="24"/>
        </w:rPr>
        <w:t>Подсобная зона</w:t>
      </w:r>
      <w:r>
        <w:rPr>
          <w:rFonts w:ascii="Times New Roman" w:eastAsia="TimesNewRomanPSMT" w:hAnsi="Times New Roman" w:cs="Times New Roman"/>
          <w:sz w:val="24"/>
          <w:szCs w:val="24"/>
        </w:rPr>
        <w:t xml:space="preserve"> – вспомогательные здания и сооружения, передвижные электростанции или трансформаторная подстанция, котельная, компрессорные и др.</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Склады вместе с территорией, обслуживающие железнодорожные пути и автомобильные дороги, образуют </w:t>
      </w:r>
      <w:r>
        <w:rPr>
          <w:rFonts w:ascii="Times New Roman" w:eastAsia="TimesNewRomanPSMT" w:hAnsi="Times New Roman" w:cs="Times New Roman"/>
          <w:b/>
          <w:i/>
          <w:sz w:val="24"/>
          <w:szCs w:val="24"/>
        </w:rPr>
        <w:t>складскую зону</w:t>
      </w:r>
      <w:r>
        <w:rPr>
          <w:rFonts w:ascii="Times New Roman" w:eastAsia="TimesNewRomanPSMT" w:hAnsi="Times New Roman" w:cs="Times New Roman"/>
          <w:sz w:val="24"/>
          <w:szCs w:val="24"/>
        </w:rPr>
        <w:t>.</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Производственная зона, как правило, является основой, вокруг которой размещаются объекты других зон. Производственная зона составляет 20–30 % всей площади предприятия. Непосредственно к этой зоне прилегают подсобная и складская зоны. Площадь подсобной зоны составляет до 1,5 %.</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Площадь </w:t>
      </w:r>
      <w:proofErr w:type="spellStart"/>
      <w:r>
        <w:rPr>
          <w:rFonts w:ascii="Times New Roman" w:eastAsia="TimesNewRomanPSMT" w:hAnsi="Times New Roman" w:cs="Times New Roman"/>
          <w:sz w:val="24"/>
          <w:szCs w:val="24"/>
        </w:rPr>
        <w:t>предзаводской</w:t>
      </w:r>
      <w:proofErr w:type="spellEnd"/>
      <w:r>
        <w:rPr>
          <w:rFonts w:ascii="Times New Roman" w:eastAsia="TimesNewRomanPSMT" w:hAnsi="Times New Roman" w:cs="Times New Roman"/>
          <w:sz w:val="24"/>
          <w:szCs w:val="24"/>
        </w:rPr>
        <w:t xml:space="preserve"> зоны – до 5 % территории. Площадь под железнодорожные пути – до 10 % территории, а площадь под дороги – до 20 %. Площадь, занятая под озеленение, может достигать до 15–20 % и более.</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Расстояние между зданиями и сооружениями принимаются в соответствии с противопожарными и санитарно-гигиеническими требованиями.</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Смесительные установки, выделяющие пыль и газ в атмосферу, следует располагать по отношению к жилой застройке или к другим зданиям и сооружениям с учетом ветров преобладающего направления и размеров санитарно-защитных зон. Для АБЗ – 500 м.</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В решении генерального плана следует предусматривать наглядное количество планировочных элементов, а также типов подъездов и дорог.</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Расстояние между зданиями и сооружениями составляет от 9 до 15–18 м, в зависимости от степени их огнестойкости. Расстояния между открытыми технологическими установками принимаются по технологическим нормам. Минимальная ширина тротуаров – 1,5 м. Графическое изображение генеральных планов должно соответствовать требованиям </w:t>
      </w:r>
      <w:r>
        <w:rPr>
          <w:rFonts w:ascii="Times New Roman" w:eastAsia="TimesNewRomanPSMT" w:hAnsi="Times New Roman" w:cs="Times New Roman"/>
          <w:b/>
          <w:sz w:val="24"/>
          <w:szCs w:val="24"/>
        </w:rPr>
        <w:t>ГОСТ 21.204–93 СПДС</w:t>
      </w:r>
      <w:r>
        <w:rPr>
          <w:rFonts w:ascii="Times New Roman" w:eastAsia="TimesNewRomanPSMT" w:hAnsi="Times New Roman" w:cs="Times New Roman"/>
          <w:sz w:val="24"/>
          <w:szCs w:val="24"/>
        </w:rPr>
        <w:t>.</w:t>
      </w:r>
    </w:p>
    <w:p w:rsidR="00493FB9" w:rsidRDefault="00493FB9" w:rsidP="00493FB9">
      <w:pPr>
        <w:autoSpaceDE w:val="0"/>
        <w:autoSpaceDN w:val="0"/>
        <w:adjustRightInd w:val="0"/>
        <w:spacing w:after="0" w:line="240" w:lineRule="auto"/>
        <w:jc w:val="both"/>
        <w:rPr>
          <w:rFonts w:ascii="Times New Roman" w:eastAsia="TimesNewRomanPSMT" w:hAnsi="Times New Roman" w:cs="Times New Roman"/>
          <w:sz w:val="24"/>
          <w:szCs w:val="24"/>
        </w:rPr>
      </w:pPr>
    </w:p>
    <w:p w:rsidR="00493FB9" w:rsidRDefault="00493FB9" w:rsidP="00493FB9">
      <w:pPr>
        <w:autoSpaceDE w:val="0"/>
        <w:autoSpaceDN w:val="0"/>
        <w:adjustRightInd w:val="0"/>
        <w:spacing w:after="0" w:line="240" w:lineRule="auto"/>
        <w:jc w:val="both"/>
        <w:rPr>
          <w:rFonts w:ascii="Times New Roman" w:eastAsia="TimesNewRomanPSMT" w:hAnsi="Times New Roman" w:cs="Times New Roman"/>
          <w:sz w:val="24"/>
          <w:szCs w:val="24"/>
        </w:rPr>
      </w:pPr>
    </w:p>
    <w:p w:rsidR="00493FB9" w:rsidRDefault="00493FB9" w:rsidP="00493FB9">
      <w:pPr>
        <w:autoSpaceDE w:val="0"/>
        <w:autoSpaceDN w:val="0"/>
        <w:adjustRightInd w:val="0"/>
        <w:spacing w:after="0" w:line="240" w:lineRule="auto"/>
        <w:ind w:firstLine="708"/>
        <w:jc w:val="both"/>
        <w:rPr>
          <w:rFonts w:ascii="Times New Roman" w:eastAsia="TimesNewRomanPS-BoldMT" w:hAnsi="Times New Roman" w:cs="Times New Roman"/>
          <w:b/>
          <w:bCs/>
          <w:sz w:val="24"/>
          <w:szCs w:val="24"/>
        </w:rPr>
      </w:pPr>
      <w:r>
        <w:rPr>
          <w:rFonts w:ascii="Times New Roman" w:eastAsia="TimesNewRomanPS-BoldMT" w:hAnsi="Times New Roman" w:cs="Times New Roman"/>
          <w:b/>
          <w:bCs/>
          <w:sz w:val="24"/>
          <w:szCs w:val="24"/>
        </w:rPr>
        <w:t>Особенности приготовления смесей и работы на АБЗ в холодный период года</w:t>
      </w:r>
    </w:p>
    <w:p w:rsidR="00493FB9" w:rsidRDefault="00493FB9" w:rsidP="00493FB9">
      <w:pPr>
        <w:autoSpaceDE w:val="0"/>
        <w:autoSpaceDN w:val="0"/>
        <w:adjustRightInd w:val="0"/>
        <w:spacing w:after="0" w:line="240" w:lineRule="auto"/>
        <w:jc w:val="both"/>
        <w:rPr>
          <w:rFonts w:ascii="Times New Roman" w:eastAsia="TimesNewRomanPSMT" w:hAnsi="Times New Roman" w:cs="Times New Roman"/>
          <w:sz w:val="24"/>
          <w:szCs w:val="24"/>
        </w:rPr>
      </w:pP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Для повышения производительности АБЗ и снижения себестоимости продукции целесообразно продлевать работу АБЗ и в холодный период года.</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В холодный период года (т.е. при температуре менее +5 ºС) заводы могут готовить холодные смеси. При этом технологическая схема приготовления материала принципиально не отличается от летних условий работ. Добавляются лишь технологические операции, направленные на уменьшение теплопотерь.</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Хранению материалов в холодный период года следует уделять особое внимание. Органические вяжущие нужно хранить только в хорошо закрытых хранилищах. Минеральный порошок должен быть сухим, лучше применять активированные минеральные порошки. Сушат минеральный порошок в сушильных барабанах, что сопряжено с большими его потерями. В щебне и песке не должно быть мерзлых комьев. Для этого площадку очищают от снега и обеспечивают хороший водоотвод. Поверхность штабеля лучше укрывать брезентом или полиэтиленовой пленкой, в противном случае каменные материалы приходится подогревать в штабеле или рыхлить. Наилучший эффект дает хранение каменных материалов в закрытых или полузакрытых складах.</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Транспортировку материала организуют с минимальными </w:t>
      </w:r>
      <w:proofErr w:type="spellStart"/>
      <w:r>
        <w:rPr>
          <w:rFonts w:ascii="Times New Roman" w:eastAsia="TimesNewRomanPSMT" w:hAnsi="Times New Roman" w:cs="Times New Roman"/>
          <w:sz w:val="24"/>
          <w:szCs w:val="24"/>
        </w:rPr>
        <w:t>теплопотерями</w:t>
      </w:r>
      <w:proofErr w:type="spellEnd"/>
      <w:r>
        <w:rPr>
          <w:rFonts w:ascii="Times New Roman" w:eastAsia="TimesNewRomanPSMT" w:hAnsi="Times New Roman" w:cs="Times New Roman"/>
          <w:sz w:val="24"/>
          <w:szCs w:val="24"/>
        </w:rPr>
        <w:t xml:space="preserve">. Все транспортные конвейеры закрывают кожухами, при необходимости устраивают теплоизоляцию. Особенно тщательно </w:t>
      </w:r>
      <w:proofErr w:type="spellStart"/>
      <w:r>
        <w:rPr>
          <w:rFonts w:ascii="Times New Roman" w:eastAsia="TimesNewRomanPSMT" w:hAnsi="Times New Roman" w:cs="Times New Roman"/>
          <w:sz w:val="24"/>
          <w:szCs w:val="24"/>
        </w:rPr>
        <w:t>теплоизолируют</w:t>
      </w:r>
      <w:proofErr w:type="spellEnd"/>
      <w:r>
        <w:rPr>
          <w:rFonts w:ascii="Times New Roman" w:eastAsia="TimesNewRomanPSMT" w:hAnsi="Times New Roman" w:cs="Times New Roman"/>
          <w:sz w:val="24"/>
          <w:szCs w:val="24"/>
        </w:rPr>
        <w:t xml:space="preserve"> </w:t>
      </w:r>
      <w:proofErr w:type="spellStart"/>
      <w:r>
        <w:rPr>
          <w:rFonts w:ascii="Times New Roman" w:eastAsia="TimesNewRomanPSMT" w:hAnsi="Times New Roman" w:cs="Times New Roman"/>
          <w:sz w:val="24"/>
          <w:szCs w:val="24"/>
        </w:rPr>
        <w:t>битумопроводы</w:t>
      </w:r>
      <w:proofErr w:type="spellEnd"/>
      <w:r>
        <w:rPr>
          <w:rFonts w:ascii="Times New Roman" w:eastAsia="TimesNewRomanPSMT" w:hAnsi="Times New Roman" w:cs="Times New Roman"/>
          <w:sz w:val="24"/>
          <w:szCs w:val="24"/>
        </w:rPr>
        <w:t xml:space="preserve"> и горячий элеватор. Машины, подаваемые под погрузку, должны иметь систему обогрева кузова выхлопными газами.</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Сушка материалов производится обычным способом, но продолжительность ее увеличивается на 20–30 %, а поэтому для поддержания производительности завода на </w:t>
      </w:r>
      <w:r>
        <w:rPr>
          <w:rFonts w:ascii="Times New Roman" w:eastAsia="TimesNewRomanPSMT" w:hAnsi="Times New Roman" w:cs="Times New Roman"/>
          <w:sz w:val="24"/>
          <w:szCs w:val="24"/>
        </w:rPr>
        <w:lastRenderedPageBreak/>
        <w:t>заданном уровне необходимо предусматривать большую производительность сушильных линий. Сушильные барабаны целесообразно также теплоизолировать.</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Перемешивание материалов более продолжительно, увеличение достигает 30-80 %. Для улучшения качества материалов и ускорения перемешивания применяют различные ПАД – известь (1–2 % по массе каменных материалов), ферросоапсток (0,5–0,7 %) и др. Мешалку целесообразно утеплить изоляционными материалами.</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Выгрузка готовой смеси малыми порциями (0,5–1,0 т) в автомобиль связана с большими </w:t>
      </w:r>
      <w:proofErr w:type="spellStart"/>
      <w:r>
        <w:rPr>
          <w:rFonts w:ascii="Times New Roman" w:eastAsia="TimesNewRomanPSMT" w:hAnsi="Times New Roman" w:cs="Times New Roman"/>
          <w:sz w:val="24"/>
          <w:szCs w:val="24"/>
        </w:rPr>
        <w:t>теплопотерями</w:t>
      </w:r>
      <w:proofErr w:type="spellEnd"/>
      <w:r>
        <w:rPr>
          <w:rFonts w:ascii="Times New Roman" w:eastAsia="TimesNewRomanPSMT" w:hAnsi="Times New Roman" w:cs="Times New Roman"/>
          <w:sz w:val="24"/>
          <w:szCs w:val="24"/>
        </w:rPr>
        <w:t>. Чтобы избежать их под мешалкой, устраивают утепленный накопительный бункер емкостью, соответствую щей емкости транспортных средств, используемых для доставки смеси. Это исключает и простои транспорта.</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В холодный период года целесообразна работа АБЗ в три смены, т.к. при работе в 1–2 смены каждый раз перед началом работы требуется затратить 1–2 часа на подогрев трубопроводов, насосов и пр.</w:t>
      </w:r>
    </w:p>
    <w:p w:rsidR="00493FB9" w:rsidRDefault="00493FB9" w:rsidP="00493FB9">
      <w:pPr>
        <w:autoSpaceDE w:val="0"/>
        <w:autoSpaceDN w:val="0"/>
        <w:adjustRightInd w:val="0"/>
        <w:spacing w:after="0" w:line="240" w:lineRule="auto"/>
        <w:jc w:val="both"/>
        <w:rPr>
          <w:rFonts w:ascii="Times New Roman" w:hAnsi="Times New Roman" w:cs="Times New Roman"/>
          <w:sz w:val="24"/>
          <w:szCs w:val="24"/>
        </w:rPr>
      </w:pPr>
    </w:p>
    <w:p w:rsidR="00222004" w:rsidRDefault="00222004" w:rsidP="00493FB9">
      <w:pPr>
        <w:jc w:val="both"/>
      </w:pPr>
    </w:p>
    <w:sectPr w:rsidR="002220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NewRomanPS-BoldMT">
    <w:altName w:val="MS Gothic"/>
    <w:panose1 w:val="00000000000000000000"/>
    <w:charset w:val="80"/>
    <w:family w:val="auto"/>
    <w:notTrueType/>
    <w:pitch w:val="default"/>
    <w:sig w:usb0="00000001" w:usb1="08070000" w:usb2="00000010" w:usb3="00000000" w:csb0="00020000" w:csb1="00000000"/>
  </w:font>
  <w:font w:name="TimesNewRomanPSMT">
    <w:altName w:val="Times New Roman"/>
    <w:panose1 w:val="00000000000000000000"/>
    <w:charset w:val="80"/>
    <w:family w:val="auto"/>
    <w:notTrueType/>
    <w:pitch w:val="default"/>
    <w:sig w:usb0="00000001" w:usb1="08070000" w:usb2="00000010" w:usb3="00000000" w:csb0="00020000" w:csb1="00000000"/>
  </w:font>
  <w:font w:name="TimesNewRomanPS-ItalicMT">
    <w:altName w:val="MS Gothic"/>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92933"/>
    <w:multiLevelType w:val="hybridMultilevel"/>
    <w:tmpl w:val="9B9C41D6"/>
    <w:lvl w:ilvl="0" w:tplc="0419000F">
      <w:start w:val="1"/>
      <w:numFmt w:val="decimal"/>
      <w:lvlText w:val="%1."/>
      <w:lvlJc w:val="left"/>
      <w:pPr>
        <w:ind w:left="1428" w:hanging="360"/>
      </w:pPr>
    </w:lvl>
    <w:lvl w:ilvl="1" w:tplc="04190019">
      <w:start w:val="1"/>
      <w:numFmt w:val="lowerLetter"/>
      <w:lvlText w:val="%2."/>
      <w:lvlJc w:val="left"/>
      <w:pPr>
        <w:ind w:left="2148" w:hanging="360"/>
      </w:pPr>
    </w:lvl>
    <w:lvl w:ilvl="2" w:tplc="0419001B">
      <w:start w:val="1"/>
      <w:numFmt w:val="lowerRoman"/>
      <w:lvlText w:val="%3."/>
      <w:lvlJc w:val="right"/>
      <w:pPr>
        <w:ind w:left="2868" w:hanging="180"/>
      </w:pPr>
    </w:lvl>
    <w:lvl w:ilvl="3" w:tplc="0419000F">
      <w:start w:val="1"/>
      <w:numFmt w:val="decimal"/>
      <w:lvlText w:val="%4."/>
      <w:lvlJc w:val="left"/>
      <w:pPr>
        <w:ind w:left="3588" w:hanging="360"/>
      </w:pPr>
    </w:lvl>
    <w:lvl w:ilvl="4" w:tplc="04190019">
      <w:start w:val="1"/>
      <w:numFmt w:val="lowerLetter"/>
      <w:lvlText w:val="%5."/>
      <w:lvlJc w:val="left"/>
      <w:pPr>
        <w:ind w:left="4308" w:hanging="360"/>
      </w:pPr>
    </w:lvl>
    <w:lvl w:ilvl="5" w:tplc="0419001B">
      <w:start w:val="1"/>
      <w:numFmt w:val="lowerRoman"/>
      <w:lvlText w:val="%6."/>
      <w:lvlJc w:val="right"/>
      <w:pPr>
        <w:ind w:left="5028" w:hanging="180"/>
      </w:pPr>
    </w:lvl>
    <w:lvl w:ilvl="6" w:tplc="0419000F">
      <w:start w:val="1"/>
      <w:numFmt w:val="decimal"/>
      <w:lvlText w:val="%7."/>
      <w:lvlJc w:val="left"/>
      <w:pPr>
        <w:ind w:left="5748" w:hanging="360"/>
      </w:pPr>
    </w:lvl>
    <w:lvl w:ilvl="7" w:tplc="04190019">
      <w:start w:val="1"/>
      <w:numFmt w:val="lowerLetter"/>
      <w:lvlText w:val="%8."/>
      <w:lvlJc w:val="left"/>
      <w:pPr>
        <w:ind w:left="6468" w:hanging="360"/>
      </w:pPr>
    </w:lvl>
    <w:lvl w:ilvl="8" w:tplc="0419001B">
      <w:start w:val="1"/>
      <w:numFmt w:val="lowerRoman"/>
      <w:lvlText w:val="%9."/>
      <w:lvlJc w:val="right"/>
      <w:pPr>
        <w:ind w:left="7188" w:hanging="180"/>
      </w:pPr>
    </w:lvl>
  </w:abstractNum>
  <w:abstractNum w:abstractNumId="1" w15:restartNumberingAfterBreak="0">
    <w:nsid w:val="067E39A1"/>
    <w:multiLevelType w:val="hybridMultilevel"/>
    <w:tmpl w:val="2E2CD8F4"/>
    <w:lvl w:ilvl="0" w:tplc="0419000F">
      <w:start w:val="1"/>
      <w:numFmt w:val="decimal"/>
      <w:lvlText w:val="%1."/>
      <w:lvlJc w:val="left"/>
      <w:pPr>
        <w:ind w:left="1428" w:hanging="360"/>
      </w:pPr>
    </w:lvl>
    <w:lvl w:ilvl="1" w:tplc="04190019">
      <w:start w:val="1"/>
      <w:numFmt w:val="lowerLetter"/>
      <w:lvlText w:val="%2."/>
      <w:lvlJc w:val="left"/>
      <w:pPr>
        <w:ind w:left="2148" w:hanging="360"/>
      </w:pPr>
    </w:lvl>
    <w:lvl w:ilvl="2" w:tplc="0419001B">
      <w:start w:val="1"/>
      <w:numFmt w:val="lowerRoman"/>
      <w:lvlText w:val="%3."/>
      <w:lvlJc w:val="right"/>
      <w:pPr>
        <w:ind w:left="2868" w:hanging="180"/>
      </w:pPr>
    </w:lvl>
    <w:lvl w:ilvl="3" w:tplc="0419000F">
      <w:start w:val="1"/>
      <w:numFmt w:val="decimal"/>
      <w:lvlText w:val="%4."/>
      <w:lvlJc w:val="left"/>
      <w:pPr>
        <w:ind w:left="3588" w:hanging="360"/>
      </w:pPr>
    </w:lvl>
    <w:lvl w:ilvl="4" w:tplc="04190019">
      <w:start w:val="1"/>
      <w:numFmt w:val="lowerLetter"/>
      <w:lvlText w:val="%5."/>
      <w:lvlJc w:val="left"/>
      <w:pPr>
        <w:ind w:left="4308" w:hanging="360"/>
      </w:pPr>
    </w:lvl>
    <w:lvl w:ilvl="5" w:tplc="0419001B">
      <w:start w:val="1"/>
      <w:numFmt w:val="lowerRoman"/>
      <w:lvlText w:val="%6."/>
      <w:lvlJc w:val="right"/>
      <w:pPr>
        <w:ind w:left="5028" w:hanging="180"/>
      </w:pPr>
    </w:lvl>
    <w:lvl w:ilvl="6" w:tplc="0419000F">
      <w:start w:val="1"/>
      <w:numFmt w:val="decimal"/>
      <w:lvlText w:val="%7."/>
      <w:lvlJc w:val="left"/>
      <w:pPr>
        <w:ind w:left="5748" w:hanging="360"/>
      </w:pPr>
    </w:lvl>
    <w:lvl w:ilvl="7" w:tplc="04190019">
      <w:start w:val="1"/>
      <w:numFmt w:val="lowerLetter"/>
      <w:lvlText w:val="%8."/>
      <w:lvlJc w:val="left"/>
      <w:pPr>
        <w:ind w:left="6468" w:hanging="360"/>
      </w:pPr>
    </w:lvl>
    <w:lvl w:ilvl="8" w:tplc="0419001B">
      <w:start w:val="1"/>
      <w:numFmt w:val="lowerRoman"/>
      <w:lvlText w:val="%9."/>
      <w:lvlJc w:val="right"/>
      <w:pPr>
        <w:ind w:left="7188" w:hanging="180"/>
      </w:pPr>
    </w:lvl>
  </w:abstractNum>
  <w:abstractNum w:abstractNumId="2" w15:restartNumberingAfterBreak="0">
    <w:nsid w:val="0C066E59"/>
    <w:multiLevelType w:val="hybridMultilevel"/>
    <w:tmpl w:val="25D85960"/>
    <w:lvl w:ilvl="0" w:tplc="9BA6AB7A">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3" w15:restartNumberingAfterBreak="0">
    <w:nsid w:val="1A3056D6"/>
    <w:multiLevelType w:val="hybridMultilevel"/>
    <w:tmpl w:val="2294F78E"/>
    <w:lvl w:ilvl="0" w:tplc="9BA6AB7A">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4" w15:restartNumberingAfterBreak="0">
    <w:nsid w:val="6E032642"/>
    <w:multiLevelType w:val="hybridMultilevel"/>
    <w:tmpl w:val="E8386996"/>
    <w:lvl w:ilvl="0" w:tplc="0419000F">
      <w:start w:val="1"/>
      <w:numFmt w:val="decimal"/>
      <w:lvlText w:val="%1."/>
      <w:lvlJc w:val="left"/>
      <w:pPr>
        <w:ind w:left="1428" w:hanging="360"/>
      </w:pPr>
    </w:lvl>
    <w:lvl w:ilvl="1" w:tplc="04190019">
      <w:start w:val="1"/>
      <w:numFmt w:val="lowerLetter"/>
      <w:lvlText w:val="%2."/>
      <w:lvlJc w:val="left"/>
      <w:pPr>
        <w:ind w:left="2148" w:hanging="360"/>
      </w:pPr>
    </w:lvl>
    <w:lvl w:ilvl="2" w:tplc="0419001B">
      <w:start w:val="1"/>
      <w:numFmt w:val="lowerRoman"/>
      <w:lvlText w:val="%3."/>
      <w:lvlJc w:val="right"/>
      <w:pPr>
        <w:ind w:left="2868" w:hanging="180"/>
      </w:pPr>
    </w:lvl>
    <w:lvl w:ilvl="3" w:tplc="0419000F">
      <w:start w:val="1"/>
      <w:numFmt w:val="decimal"/>
      <w:lvlText w:val="%4."/>
      <w:lvlJc w:val="left"/>
      <w:pPr>
        <w:ind w:left="3588" w:hanging="360"/>
      </w:pPr>
    </w:lvl>
    <w:lvl w:ilvl="4" w:tplc="04190019">
      <w:start w:val="1"/>
      <w:numFmt w:val="lowerLetter"/>
      <w:lvlText w:val="%5."/>
      <w:lvlJc w:val="left"/>
      <w:pPr>
        <w:ind w:left="4308" w:hanging="360"/>
      </w:pPr>
    </w:lvl>
    <w:lvl w:ilvl="5" w:tplc="0419001B">
      <w:start w:val="1"/>
      <w:numFmt w:val="lowerRoman"/>
      <w:lvlText w:val="%6."/>
      <w:lvlJc w:val="right"/>
      <w:pPr>
        <w:ind w:left="5028" w:hanging="180"/>
      </w:pPr>
    </w:lvl>
    <w:lvl w:ilvl="6" w:tplc="0419000F">
      <w:start w:val="1"/>
      <w:numFmt w:val="decimal"/>
      <w:lvlText w:val="%7."/>
      <w:lvlJc w:val="left"/>
      <w:pPr>
        <w:ind w:left="5748" w:hanging="360"/>
      </w:pPr>
    </w:lvl>
    <w:lvl w:ilvl="7" w:tplc="04190019">
      <w:start w:val="1"/>
      <w:numFmt w:val="lowerLetter"/>
      <w:lvlText w:val="%8."/>
      <w:lvlJc w:val="left"/>
      <w:pPr>
        <w:ind w:left="6468" w:hanging="360"/>
      </w:pPr>
    </w:lvl>
    <w:lvl w:ilvl="8" w:tplc="0419001B">
      <w:start w:val="1"/>
      <w:numFmt w:val="lowerRoman"/>
      <w:lvlText w:val="%9."/>
      <w:lvlJc w:val="right"/>
      <w:pPr>
        <w:ind w:left="7188" w:hanging="180"/>
      </w:pPr>
    </w:lvl>
  </w:abstractNum>
  <w:abstractNum w:abstractNumId="5" w15:restartNumberingAfterBreak="0">
    <w:nsid w:val="70A24CE0"/>
    <w:multiLevelType w:val="hybridMultilevel"/>
    <w:tmpl w:val="CA72312C"/>
    <w:lvl w:ilvl="0" w:tplc="9BA6AB7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A96"/>
    <w:rsid w:val="00222004"/>
    <w:rsid w:val="00493FB9"/>
    <w:rsid w:val="009D66E5"/>
    <w:rsid w:val="00C76AD6"/>
    <w:rsid w:val="00ED4A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DC414"/>
  <w15:chartTrackingRefBased/>
  <w15:docId w15:val="{85F3B4D7-4398-43B3-8D65-CCDA265BC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3FB9"/>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93F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5469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6</Pages>
  <Words>2325</Words>
  <Characters>13257</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3</cp:revision>
  <dcterms:created xsi:type="dcterms:W3CDTF">2019-09-23T08:04:00Z</dcterms:created>
  <dcterms:modified xsi:type="dcterms:W3CDTF">2020-09-05T18:19:00Z</dcterms:modified>
</cp:coreProperties>
</file>